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E849" w14:textId="77777777" w:rsidR="00E5221A" w:rsidRDefault="0074438C" w:rsidP="00963952">
      <w:pPr>
        <w:spacing w:after="0" w:line="258" w:lineRule="auto"/>
        <w:ind w:left="0" w:firstLine="0"/>
        <w:jc w:val="center"/>
      </w:pPr>
      <w:r>
        <w:rPr>
          <w:b/>
          <w:sz w:val="36"/>
        </w:rPr>
        <w:t xml:space="preserve">Options for Managing Courses that are Preferred or Recommend (Sometimes Hidden) </w:t>
      </w:r>
    </w:p>
    <w:p w14:paraId="33F31761" w14:textId="77777777" w:rsidR="00E5221A" w:rsidRDefault="0074438C" w:rsidP="00963952">
      <w:pPr>
        <w:spacing w:after="0" w:line="259" w:lineRule="auto"/>
        <w:ind w:left="25"/>
        <w:jc w:val="center"/>
      </w:pPr>
      <w:r>
        <w:rPr>
          <w:b/>
        </w:rPr>
        <w:t xml:space="preserve">Approved by the Undergraduate Deans </w:t>
      </w:r>
    </w:p>
    <w:p w14:paraId="0FD4BC6F" w14:textId="3062B3FE" w:rsidR="00E5221A" w:rsidRDefault="00734F84" w:rsidP="00963952">
      <w:pPr>
        <w:spacing w:after="0" w:line="259" w:lineRule="auto"/>
        <w:ind w:left="25"/>
        <w:jc w:val="center"/>
      </w:pPr>
      <w:r>
        <w:rPr>
          <w:b/>
        </w:rPr>
        <w:t>July 8, 2025</w:t>
      </w:r>
    </w:p>
    <w:p w14:paraId="6F4D99C8" w14:textId="77777777" w:rsidR="00E5221A" w:rsidRDefault="0074438C" w:rsidP="00963952">
      <w:pPr>
        <w:spacing w:after="0" w:line="259" w:lineRule="auto"/>
        <w:ind w:left="0" w:firstLine="0"/>
      </w:pPr>
      <w:r>
        <w:rPr>
          <w:b/>
        </w:rPr>
        <w:t xml:space="preserve"> </w:t>
      </w:r>
    </w:p>
    <w:p w14:paraId="0F1174FC" w14:textId="52BF938A" w:rsidR="00E5221A" w:rsidRDefault="0074438C" w:rsidP="00963952">
      <w:pPr>
        <w:spacing w:after="0"/>
        <w:ind w:left="-5"/>
      </w:pPr>
      <w:r>
        <w:rPr>
          <w:b/>
        </w:rPr>
        <w:t>Background:</w:t>
      </w:r>
      <w:r>
        <w:t xml:space="preserve">  Several degrees have courses that may be used to fulfill requirements that are not the recommended or preferred course. However, if the student has already taken the course, it would fulfill the requirement.  In other cases, there are courses that may fit a particular student’s need because they are heading for a particular post-undergraduate experience such as medical school or veterinary medicine. </w:t>
      </w:r>
    </w:p>
    <w:p w14:paraId="0544992B" w14:textId="77777777" w:rsidR="00963952" w:rsidRDefault="00963952" w:rsidP="00963952">
      <w:pPr>
        <w:spacing w:after="0"/>
        <w:ind w:left="-5"/>
      </w:pPr>
    </w:p>
    <w:p w14:paraId="2BC1AD9B" w14:textId="74FCB29F" w:rsidR="00E5221A" w:rsidRDefault="0074438C" w:rsidP="00963952">
      <w:pPr>
        <w:spacing w:after="0"/>
        <w:ind w:left="-5"/>
      </w:pPr>
      <w:r>
        <w:t xml:space="preserve">One of the challenges is balancing the need to be transparent so that students know about these options while steering the majority of the students down the preferred path to earn the degree. To this end, below are </w:t>
      </w:r>
      <w:r w:rsidR="0012451C">
        <w:t>three</w:t>
      </w:r>
      <w:r>
        <w:t xml:space="preserve"> approaches that are meant to strike that balance while avoiding “hiding” classes so that students can’t see them on the catalog/degree audit.  </w:t>
      </w:r>
    </w:p>
    <w:p w14:paraId="3673ECD8" w14:textId="77777777" w:rsidR="00963952" w:rsidRDefault="00963952" w:rsidP="00963952">
      <w:pPr>
        <w:spacing w:after="0"/>
        <w:ind w:left="-5"/>
      </w:pPr>
    </w:p>
    <w:p w14:paraId="402DE6C7" w14:textId="6582A840" w:rsidR="00E5221A" w:rsidRDefault="0074438C" w:rsidP="00963952">
      <w:pPr>
        <w:spacing w:after="0" w:line="259" w:lineRule="auto"/>
        <w:ind w:left="25" w:right="1"/>
        <w:jc w:val="center"/>
      </w:pPr>
      <w:r>
        <w:rPr>
          <w:b/>
          <w:i/>
          <w:sz w:val="28"/>
          <w:u w:val="single" w:color="000000"/>
        </w:rPr>
        <w:t xml:space="preserve">Departments may use </w:t>
      </w:r>
      <w:r w:rsidR="00963952">
        <w:rPr>
          <w:b/>
          <w:i/>
          <w:sz w:val="28"/>
          <w:u w:val="single" w:color="000000"/>
        </w:rPr>
        <w:t>any or all options</w:t>
      </w:r>
      <w:r>
        <w:rPr>
          <w:b/>
          <w:i/>
          <w:sz w:val="28"/>
          <w:u w:val="single" w:color="000000"/>
        </w:rPr>
        <w:t>.</w:t>
      </w:r>
      <w:r>
        <w:rPr>
          <w:b/>
          <w:i/>
          <w:sz w:val="28"/>
        </w:rPr>
        <w:t xml:space="preserve">  </w:t>
      </w:r>
    </w:p>
    <w:p w14:paraId="3BFB4778" w14:textId="77777777" w:rsidR="00E5221A" w:rsidRDefault="0074438C" w:rsidP="00963952">
      <w:pPr>
        <w:spacing w:after="0" w:line="259" w:lineRule="auto"/>
        <w:ind w:left="25"/>
        <w:jc w:val="center"/>
      </w:pPr>
      <w:r>
        <w:rPr>
          <w:b/>
          <w:i/>
          <w:sz w:val="28"/>
          <w:u w:val="single" w:color="000000"/>
        </w:rPr>
        <w:t>Some of the AU’s are already deploying these approaches</w:t>
      </w:r>
      <w:r>
        <w:rPr>
          <w:sz w:val="28"/>
        </w:rPr>
        <w:t xml:space="preserve">. </w:t>
      </w:r>
    </w:p>
    <w:p w14:paraId="31F1A501" w14:textId="77777777" w:rsidR="00E5221A" w:rsidRDefault="0074438C" w:rsidP="00963952">
      <w:pPr>
        <w:spacing w:after="0" w:line="259" w:lineRule="auto"/>
        <w:ind w:left="0" w:firstLine="0"/>
      </w:pPr>
      <w:r>
        <w:t xml:space="preserve"> </w:t>
      </w:r>
    </w:p>
    <w:p w14:paraId="0FBE6F2D" w14:textId="129FB635" w:rsidR="00685EC3" w:rsidRPr="00963952" w:rsidRDefault="0074438C" w:rsidP="00963952">
      <w:pPr>
        <w:spacing w:after="0" w:line="401" w:lineRule="auto"/>
        <w:ind w:left="-5" w:right="775"/>
        <w:rPr>
          <w:b/>
          <w:u w:val="single"/>
        </w:rPr>
      </w:pPr>
      <w:r w:rsidRPr="00963952">
        <w:rPr>
          <w:b/>
          <w:u w:val="single"/>
        </w:rPr>
        <w:t xml:space="preserve">Option 1 - Labeling </w:t>
      </w:r>
      <w:r w:rsidR="006C5A2A" w:rsidRPr="00963952">
        <w:rPr>
          <w:b/>
          <w:u w:val="single"/>
        </w:rPr>
        <w:t>C</w:t>
      </w:r>
      <w:r w:rsidRPr="00963952">
        <w:rPr>
          <w:b/>
          <w:u w:val="single"/>
        </w:rPr>
        <w:t>ourses as “Recommended”</w:t>
      </w:r>
      <w:r w:rsidR="00EF6208" w:rsidRPr="00963952">
        <w:rPr>
          <w:b/>
          <w:u w:val="single"/>
        </w:rPr>
        <w:t xml:space="preserve"> or “Preferred”</w:t>
      </w:r>
    </w:p>
    <w:p w14:paraId="3F9D1F68" w14:textId="0A147DF7" w:rsidR="00FF49CB" w:rsidRDefault="0074438C" w:rsidP="00963952">
      <w:pPr>
        <w:spacing w:after="0" w:line="401" w:lineRule="auto"/>
        <w:ind w:left="-5" w:right="775"/>
      </w:pPr>
      <w:r>
        <w:t>Below are illustrations showing how this looks on the audit and in the catalog.</w:t>
      </w:r>
    </w:p>
    <w:p w14:paraId="1E53EC1C" w14:textId="69B42931" w:rsidR="00E5221A" w:rsidRDefault="0074438C" w:rsidP="00963952">
      <w:pPr>
        <w:spacing w:after="0" w:line="401" w:lineRule="auto"/>
        <w:ind w:left="-5" w:right="775"/>
        <w:rPr>
          <w:b/>
        </w:rPr>
      </w:pPr>
      <w:r>
        <w:rPr>
          <w:b/>
        </w:rPr>
        <w:t xml:space="preserve"> </w:t>
      </w:r>
      <w:r>
        <w:rPr>
          <w:b/>
          <w:u w:val="single" w:color="000000"/>
        </w:rPr>
        <w:t>Audit</w:t>
      </w:r>
      <w:r>
        <w:rPr>
          <w:b/>
        </w:rPr>
        <w:t xml:space="preserve">  </w:t>
      </w:r>
    </w:p>
    <w:p w14:paraId="16E4644A" w14:textId="4E3A19DC" w:rsidR="00537DDC" w:rsidRPr="00537DDC" w:rsidRDefault="007B796C" w:rsidP="00963952">
      <w:pPr>
        <w:spacing w:after="0" w:line="401" w:lineRule="auto"/>
        <w:ind w:left="-5" w:right="775"/>
        <w:rPr>
          <w:bCs/>
        </w:rPr>
      </w:pPr>
      <w:r w:rsidRPr="007B796C">
        <w:rPr>
          <w:bCs/>
          <w:noProof/>
        </w:rPr>
        <w:drawing>
          <wp:inline distT="0" distB="0" distL="0" distR="0" wp14:anchorId="25FEE2A4" wp14:editId="17086192">
            <wp:extent cx="4145010" cy="1666875"/>
            <wp:effectExtent l="0" t="0" r="8255" b="0"/>
            <wp:docPr id="2714234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23431" name="Picture 1" descr="A screenshot of a computer&#10;&#10;AI-generated content may be incorrect."/>
                    <pic:cNvPicPr/>
                  </pic:nvPicPr>
                  <pic:blipFill>
                    <a:blip r:embed="rId8"/>
                    <a:stretch>
                      <a:fillRect/>
                    </a:stretch>
                  </pic:blipFill>
                  <pic:spPr>
                    <a:xfrm>
                      <a:off x="0" y="0"/>
                      <a:ext cx="4156609" cy="1671539"/>
                    </a:xfrm>
                    <a:prstGeom prst="rect">
                      <a:avLst/>
                    </a:prstGeom>
                  </pic:spPr>
                </pic:pic>
              </a:graphicData>
            </a:graphic>
          </wp:inline>
        </w:drawing>
      </w:r>
    </w:p>
    <w:p w14:paraId="4DE83223" w14:textId="610C3F93" w:rsidR="00E5221A" w:rsidRDefault="0074438C" w:rsidP="00963952">
      <w:pPr>
        <w:spacing w:after="0" w:line="259" w:lineRule="auto"/>
        <w:ind w:left="0" w:right="3265" w:firstLine="0"/>
      </w:pPr>
      <w:r>
        <w:t xml:space="preserve"> </w:t>
      </w:r>
      <w:r>
        <w:rPr>
          <w:b/>
          <w:u w:val="single" w:color="000000"/>
        </w:rPr>
        <w:t>Catalog</w:t>
      </w:r>
      <w:r>
        <w:rPr>
          <w:b/>
        </w:rPr>
        <w:t xml:space="preserve"> </w:t>
      </w:r>
    </w:p>
    <w:p w14:paraId="5FD843D3" w14:textId="77777777" w:rsidR="00E5221A" w:rsidRDefault="0074438C" w:rsidP="00963952">
      <w:pPr>
        <w:spacing w:after="0" w:line="259" w:lineRule="auto"/>
        <w:ind w:left="0" w:right="1345" w:firstLine="0"/>
        <w:jc w:val="right"/>
      </w:pPr>
      <w:r>
        <w:rPr>
          <w:noProof/>
        </w:rPr>
        <w:drawing>
          <wp:inline distT="0" distB="0" distL="0" distR="0" wp14:anchorId="55419E98" wp14:editId="516E234E">
            <wp:extent cx="5038725" cy="118110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9"/>
                    <a:stretch>
                      <a:fillRect/>
                    </a:stretch>
                  </pic:blipFill>
                  <pic:spPr>
                    <a:xfrm>
                      <a:off x="0" y="0"/>
                      <a:ext cx="5038725" cy="1181100"/>
                    </a:xfrm>
                    <a:prstGeom prst="rect">
                      <a:avLst/>
                    </a:prstGeom>
                  </pic:spPr>
                </pic:pic>
              </a:graphicData>
            </a:graphic>
          </wp:inline>
        </w:drawing>
      </w:r>
      <w:r>
        <w:t xml:space="preserve"> </w:t>
      </w:r>
    </w:p>
    <w:p w14:paraId="06AEF110" w14:textId="77777777" w:rsidR="00E5221A" w:rsidRDefault="0074438C" w:rsidP="00963952">
      <w:pPr>
        <w:spacing w:after="0" w:line="259" w:lineRule="auto"/>
        <w:ind w:left="-29" w:right="-45" w:firstLine="0"/>
      </w:pPr>
      <w:r>
        <w:rPr>
          <w:noProof/>
        </w:rPr>
        <mc:AlternateContent>
          <mc:Choice Requires="wpg">
            <w:drawing>
              <wp:inline distT="0" distB="0" distL="0" distR="0" wp14:anchorId="094D4B5E" wp14:editId="75511B6E">
                <wp:extent cx="5981065" cy="6096"/>
                <wp:effectExtent l="0" t="0" r="0" b="0"/>
                <wp:docPr id="1797" name="Group 179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191" name="Shape 219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D8B891A" id="Group 1797"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">
                <v:shape id="Shape 2191"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" path="m,l5981065,r,9144l,9144,,e" fillcolor="#d9d9d9" stroked="f" strokeweight="0">
                  <v:stroke miterlimit="83231f" joinstyle="miter"/>
                  <v:path arrowok="t" textboxrect="0,0,5981065,9144"/>
                </v:shape>
                <w10:anchorlock/>
              </v:group>
            </w:pict>
          </mc:Fallback>
        </mc:AlternateContent>
      </w:r>
    </w:p>
    <w:p w14:paraId="0062AC83" w14:textId="77777777" w:rsidR="00E5221A" w:rsidRDefault="0074438C" w:rsidP="00963952">
      <w:pPr>
        <w:spacing w:after="0" w:line="259" w:lineRule="auto"/>
        <w:ind w:right="27"/>
        <w:jc w:val="right"/>
      </w:pPr>
      <w:r>
        <w:t xml:space="preserve">1 | </w:t>
      </w:r>
      <w:r>
        <w:rPr>
          <w:color w:val="7F7F7F"/>
        </w:rPr>
        <w:t>P a g e</w:t>
      </w:r>
      <w:r>
        <w:t xml:space="preserve"> </w:t>
      </w:r>
    </w:p>
    <w:p w14:paraId="6480CBD2" w14:textId="77777777" w:rsidR="00E5221A" w:rsidRDefault="0074438C" w:rsidP="00963952">
      <w:pPr>
        <w:spacing w:after="0" w:line="259" w:lineRule="auto"/>
        <w:ind w:left="0" w:firstLine="0"/>
      </w:pPr>
      <w:r>
        <w:t xml:space="preserve"> </w:t>
      </w:r>
    </w:p>
    <w:p w14:paraId="3C1813E7" w14:textId="77777777" w:rsidR="00E5221A" w:rsidRDefault="0074438C" w:rsidP="00963952">
      <w:pPr>
        <w:spacing w:after="0"/>
        <w:ind w:left="-5"/>
      </w:pPr>
      <w:r>
        <w:lastRenderedPageBreak/>
        <w:t xml:space="preserve">Two guiding principles will ensure that labeling adheres to the “simple, transparent, and consistent” tenets:  </w:t>
      </w:r>
    </w:p>
    <w:p w14:paraId="02C05A44" w14:textId="77777777" w:rsidR="00E5221A" w:rsidRDefault="0074438C" w:rsidP="00963952">
      <w:pPr>
        <w:numPr>
          <w:ilvl w:val="0"/>
          <w:numId w:val="1"/>
        </w:numPr>
        <w:spacing w:after="0"/>
        <w:ind w:hanging="360"/>
      </w:pPr>
      <w:r>
        <w:t xml:space="preserve">All AUs/departments will use the same wording in the catalog to describe the options: </w:t>
      </w:r>
    </w:p>
    <w:p w14:paraId="42C4EED3" w14:textId="77777777" w:rsidR="00EF6208" w:rsidRPr="00EF6208" w:rsidRDefault="0074438C" w:rsidP="00963952">
      <w:pPr>
        <w:numPr>
          <w:ilvl w:val="1"/>
          <w:numId w:val="1"/>
        </w:numPr>
        <w:spacing w:after="0" w:line="259" w:lineRule="auto"/>
        <w:ind w:hanging="360"/>
      </w:pPr>
      <w:r>
        <w:rPr>
          <w:i/>
        </w:rPr>
        <w:t>Recommended</w:t>
      </w:r>
    </w:p>
    <w:p w14:paraId="285391E9" w14:textId="180AFC95" w:rsidR="00E5221A" w:rsidRDefault="0084361C" w:rsidP="00963952">
      <w:pPr>
        <w:numPr>
          <w:ilvl w:val="1"/>
          <w:numId w:val="1"/>
        </w:numPr>
        <w:spacing w:after="0" w:line="259" w:lineRule="auto"/>
        <w:ind w:hanging="360"/>
      </w:pPr>
      <w:r>
        <w:rPr>
          <w:i/>
        </w:rPr>
        <w:t>Preferred</w:t>
      </w:r>
    </w:p>
    <w:p w14:paraId="2481B73D" w14:textId="657881BB" w:rsidR="00E5221A" w:rsidRDefault="00E5221A" w:rsidP="00963952">
      <w:pPr>
        <w:spacing w:after="0" w:line="259" w:lineRule="auto"/>
        <w:ind w:left="1440" w:firstLine="0"/>
      </w:pPr>
    </w:p>
    <w:p w14:paraId="1F5F74A8" w14:textId="1A539F76" w:rsidR="00E5221A" w:rsidRDefault="0074438C" w:rsidP="00963952">
      <w:pPr>
        <w:numPr>
          <w:ilvl w:val="0"/>
          <w:numId w:val="1"/>
        </w:numPr>
        <w:spacing w:after="0"/>
        <w:ind w:hanging="360"/>
      </w:pPr>
      <w:r>
        <w:t xml:space="preserve">Degree Audits will use the same wording as the catalog.  e.g., if a course appears as </w:t>
      </w:r>
      <w:r>
        <w:rPr>
          <w:i/>
        </w:rPr>
        <w:t>Recommended</w:t>
      </w:r>
      <w:r>
        <w:t xml:space="preserve"> in the catalog, it would also appear as </w:t>
      </w:r>
      <w:r w:rsidR="00EF6208">
        <w:rPr>
          <w:i/>
        </w:rPr>
        <w:t>Recommended</w:t>
      </w:r>
      <w:r w:rsidR="00EF6208">
        <w:t xml:space="preserve"> </w:t>
      </w:r>
      <w:r>
        <w:t xml:space="preserve">in the degree audit report. </w:t>
      </w:r>
    </w:p>
    <w:p w14:paraId="2C0B0E2D" w14:textId="77777777" w:rsidR="00E5221A" w:rsidRDefault="0074438C" w:rsidP="00963952">
      <w:pPr>
        <w:spacing w:after="0" w:line="259" w:lineRule="auto"/>
        <w:ind w:left="0" w:firstLine="0"/>
      </w:pPr>
      <w:r>
        <w:t xml:space="preserve"> </w:t>
      </w:r>
    </w:p>
    <w:p w14:paraId="5739D548" w14:textId="5218CA31" w:rsidR="006C5A2A" w:rsidRDefault="0074438C" w:rsidP="00963952">
      <w:pPr>
        <w:spacing w:after="0"/>
        <w:ind w:left="-5"/>
      </w:pPr>
      <w:r>
        <w:rPr>
          <w:b/>
          <w:u w:val="single" w:color="000000"/>
        </w:rPr>
        <w:t>Option 2</w:t>
      </w:r>
      <w:r>
        <w:rPr>
          <w:u w:val="single" w:color="000000"/>
        </w:rPr>
        <w:t xml:space="preserve"> – </w:t>
      </w:r>
      <w:r>
        <w:rPr>
          <w:b/>
          <w:u w:val="single" w:color="000000"/>
        </w:rPr>
        <w:t>Offering “</w:t>
      </w:r>
      <w:r w:rsidR="006C5A2A">
        <w:rPr>
          <w:b/>
          <w:u w:val="single" w:color="000000"/>
        </w:rPr>
        <w:t>O</w:t>
      </w:r>
      <w:r>
        <w:rPr>
          <w:b/>
          <w:u w:val="single" w:color="000000"/>
        </w:rPr>
        <w:t>ptions” or “</w:t>
      </w:r>
      <w:r w:rsidR="006C5A2A">
        <w:rPr>
          <w:b/>
          <w:u w:val="single" w:color="000000"/>
        </w:rPr>
        <w:t>T</w:t>
      </w:r>
      <w:r>
        <w:rPr>
          <w:b/>
          <w:u w:val="single" w:color="000000"/>
        </w:rPr>
        <w:t>racks”</w:t>
      </w:r>
    </w:p>
    <w:p w14:paraId="24DDD3D8" w14:textId="77777777" w:rsidR="00856B0E" w:rsidRDefault="0074438C" w:rsidP="00963952">
      <w:pPr>
        <w:spacing w:after="0"/>
        <w:ind w:left="-5"/>
      </w:pPr>
      <w:r>
        <w:t xml:space="preserve">Students can choose from various paths that ultimately lead to the degree.  There could be options or tracks for “Pre-Vet Med” or a “Pre-Med,” etc.  Once chosen for the student the option or track is part of the degree audit. These will be spelled out in the catalog. This approach works well when there is a subset of students who routinely want to follow an alternative, acceptable path to the degree. </w:t>
      </w:r>
    </w:p>
    <w:p w14:paraId="3F2B9037" w14:textId="3AB3F57F" w:rsidR="00E5221A" w:rsidRDefault="0074438C" w:rsidP="00963952">
      <w:pPr>
        <w:spacing w:after="0"/>
        <w:ind w:left="-5"/>
      </w:pPr>
      <w:r>
        <w:t xml:space="preserve"> </w:t>
      </w:r>
    </w:p>
    <w:p w14:paraId="05486CD8" w14:textId="52BF394C" w:rsidR="00E5221A" w:rsidRDefault="0074438C" w:rsidP="00963952">
      <w:pPr>
        <w:spacing w:after="0"/>
        <w:ind w:left="-5"/>
      </w:pPr>
      <w:r>
        <w:t xml:space="preserve">Students </w:t>
      </w:r>
      <w:r w:rsidR="00993F54">
        <w:t xml:space="preserve">or advisors can </w:t>
      </w:r>
      <w:r>
        <w:t>select a track</w:t>
      </w:r>
      <w:r w:rsidR="00DA3E78">
        <w:t xml:space="preserve">. </w:t>
      </w:r>
      <w:r>
        <w:t xml:space="preserve">The set of requirements contained in the track is then incorporated into the degree audit; the audit will not “complete” without completion of a track. </w:t>
      </w:r>
    </w:p>
    <w:p w14:paraId="0F3780D2" w14:textId="77777777" w:rsidR="00602867" w:rsidRDefault="00602867" w:rsidP="00963952">
      <w:pPr>
        <w:spacing w:after="0"/>
      </w:pPr>
    </w:p>
    <w:p w14:paraId="47C84FBF" w14:textId="3973169E" w:rsidR="00963952" w:rsidRDefault="00963952" w:rsidP="00963952">
      <w:pPr>
        <w:spacing w:after="0"/>
      </w:pPr>
      <w:r>
        <w:t xml:space="preserve">Tracks are not part of the myZou official academic record.  They do not print on transcripts. </w:t>
      </w:r>
    </w:p>
    <w:p w14:paraId="4986EE6C" w14:textId="77777777" w:rsidR="00963952" w:rsidRDefault="00963952" w:rsidP="00963952">
      <w:pPr>
        <w:spacing w:after="0"/>
      </w:pPr>
    </w:p>
    <w:p w14:paraId="36A83DFB" w14:textId="5E463E13" w:rsidR="00DA3E78" w:rsidRDefault="00DA3E78" w:rsidP="00963952">
      <w:pPr>
        <w:spacing w:after="0"/>
      </w:pPr>
      <w:r>
        <w:rPr>
          <w:b/>
          <w:u w:val="single" w:color="000000"/>
        </w:rPr>
        <w:t xml:space="preserve">Option </w:t>
      </w:r>
      <w:r w:rsidR="002556FD">
        <w:rPr>
          <w:b/>
          <w:u w:val="single" w:color="000000"/>
        </w:rPr>
        <w:t>3</w:t>
      </w:r>
      <w:r>
        <w:rPr>
          <w:u w:val="single" w:color="000000"/>
        </w:rPr>
        <w:t xml:space="preserve"> – </w:t>
      </w:r>
      <w:r w:rsidR="002556FD">
        <w:rPr>
          <w:b/>
          <w:u w:val="single" w:color="000000"/>
        </w:rPr>
        <w:t>Hidden Courses or Requirements</w:t>
      </w:r>
    </w:p>
    <w:p w14:paraId="042AD289" w14:textId="740C67F7" w:rsidR="00DA3E78" w:rsidRDefault="0074438C" w:rsidP="00963952">
      <w:pPr>
        <w:spacing w:after="0" w:line="259" w:lineRule="auto"/>
        <w:ind w:left="0" w:firstLine="0"/>
      </w:pPr>
      <w:r>
        <w:t xml:space="preserve"> </w:t>
      </w:r>
      <w:r w:rsidR="00D7355D">
        <w:t>If listing possible course options for a requirement would unnecessarily clutter the audit report, the courses may be hidden.</w:t>
      </w:r>
    </w:p>
    <w:p w14:paraId="7512CB37" w14:textId="77777777" w:rsidR="00602867" w:rsidRDefault="00602867" w:rsidP="00602867">
      <w:pPr>
        <w:spacing w:after="0"/>
      </w:pPr>
    </w:p>
    <w:p w14:paraId="618EECDD" w14:textId="41E4546F" w:rsidR="00E5221A" w:rsidRDefault="0082071F" w:rsidP="00602867">
      <w:pPr>
        <w:spacing w:after="0"/>
      </w:pPr>
      <w:r>
        <w:t>C</w:t>
      </w:r>
      <w:r w:rsidR="0074438C">
        <w:t xml:space="preserve">ourses </w:t>
      </w:r>
      <w:r>
        <w:t xml:space="preserve">that </w:t>
      </w:r>
      <w:r w:rsidR="0074438C">
        <w:t xml:space="preserve">may </w:t>
      </w:r>
      <w:r>
        <w:t>be</w:t>
      </w:r>
      <w:r w:rsidR="0074438C">
        <w:t xml:space="preserve"> hidden </w:t>
      </w:r>
      <w:r w:rsidR="00325A74">
        <w:t>are</w:t>
      </w:r>
      <w:r w:rsidR="0074438C">
        <w:t xml:space="preserve"> “by contract” courses</w:t>
      </w:r>
      <w:r w:rsidR="00067884">
        <w:t xml:space="preserve">, discontinued courses (e.g. CHEM 1320) </w:t>
      </w:r>
      <w:r w:rsidR="0074438C">
        <w:t xml:space="preserve">and transfer courses that lack an exact articulation match (e.g., BIO_SCI ELECT**).   </w:t>
      </w:r>
    </w:p>
    <w:p w14:paraId="2F035EB7" w14:textId="77777777" w:rsidR="00602867" w:rsidRDefault="00602867" w:rsidP="00602867">
      <w:pPr>
        <w:spacing w:after="0"/>
      </w:pPr>
    </w:p>
    <w:p w14:paraId="11A990A8" w14:textId="3085BB5C" w:rsidR="00096752" w:rsidRDefault="00400B93" w:rsidP="00602867">
      <w:pPr>
        <w:spacing w:after="0"/>
      </w:pPr>
      <w:r>
        <w:t>Courses may also be hidden</w:t>
      </w:r>
      <w:r w:rsidR="006463B4">
        <w:t xml:space="preserve"> when they have attributes.  For example, attributes are used for General Education requirements rather than </w:t>
      </w:r>
      <w:r w:rsidR="0074677E">
        <w:t>displaying every possible course</w:t>
      </w:r>
      <w:r w:rsidR="00B629F2">
        <w:t>. T</w:t>
      </w:r>
      <w:r w:rsidR="0074438C">
        <w:t xml:space="preserve">his keeps the information displayed in the two places in synch and prevents the audit reports from being excessively long (some Gen Ed requirements accept several hundred courses). </w:t>
      </w:r>
      <w:r w:rsidR="00411E60">
        <w:t xml:space="preserve"> </w:t>
      </w:r>
      <w:r w:rsidR="00096752" w:rsidRPr="00096752">
        <w:t xml:space="preserve">Eligible courses with the appropriate attributes will appear in a sidebar </w:t>
      </w:r>
      <w:r w:rsidR="00096752">
        <w:t xml:space="preserve">in the audit </w:t>
      </w:r>
      <w:r w:rsidR="00096752" w:rsidRPr="00096752">
        <w:t>for students to review and select.</w:t>
      </w:r>
    </w:p>
    <w:p w14:paraId="3E7F63F4" w14:textId="77777777" w:rsidR="00E5221A" w:rsidRDefault="0074438C" w:rsidP="00963952">
      <w:pPr>
        <w:spacing w:after="0" w:line="259" w:lineRule="auto"/>
        <w:ind w:right="27"/>
        <w:jc w:val="right"/>
      </w:pPr>
      <w:r>
        <w:t xml:space="preserve">2 | </w:t>
      </w:r>
      <w:r>
        <w:rPr>
          <w:color w:val="7F7F7F"/>
        </w:rPr>
        <w:t>P a g e</w:t>
      </w:r>
      <w:r>
        <w:t xml:space="preserve"> </w:t>
      </w:r>
    </w:p>
    <w:p w14:paraId="382A5112" w14:textId="77777777" w:rsidR="00E5221A" w:rsidRDefault="0074438C" w:rsidP="00963952">
      <w:pPr>
        <w:spacing w:after="0" w:line="259" w:lineRule="auto"/>
        <w:ind w:left="0" w:firstLine="0"/>
      </w:pPr>
      <w:r>
        <w:t xml:space="preserve"> </w:t>
      </w:r>
    </w:p>
    <w:sectPr w:rsidR="00E5221A">
      <w:pgSz w:w="12240" w:h="15840"/>
      <w:pgMar w:top="1484" w:right="1455" w:bottom="7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53B62"/>
    <w:multiLevelType w:val="hybridMultilevel"/>
    <w:tmpl w:val="CB24A9E4"/>
    <w:lvl w:ilvl="0" w:tplc="2BE8E5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FCA926">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DC38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9645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063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CE38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2C26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830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5A4D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4015D8"/>
    <w:multiLevelType w:val="hybridMultilevel"/>
    <w:tmpl w:val="6ED6A6DA"/>
    <w:lvl w:ilvl="0" w:tplc="791ED7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0836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EAA2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3067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F0EC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AECB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4657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F84AC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7A97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13805871">
    <w:abstractNumId w:val="0"/>
  </w:num>
  <w:num w:numId="2" w16cid:durableId="187545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1A"/>
    <w:rsid w:val="00067884"/>
    <w:rsid w:val="00096752"/>
    <w:rsid w:val="0012451C"/>
    <w:rsid w:val="002556FD"/>
    <w:rsid w:val="002C099C"/>
    <w:rsid w:val="00325A74"/>
    <w:rsid w:val="003C24BF"/>
    <w:rsid w:val="00400B93"/>
    <w:rsid w:val="00400BBA"/>
    <w:rsid w:val="00411E60"/>
    <w:rsid w:val="00537DDC"/>
    <w:rsid w:val="00573F01"/>
    <w:rsid w:val="005A2364"/>
    <w:rsid w:val="005B650E"/>
    <w:rsid w:val="005C41B6"/>
    <w:rsid w:val="005F3FE6"/>
    <w:rsid w:val="00602867"/>
    <w:rsid w:val="006463B4"/>
    <w:rsid w:val="00685EC3"/>
    <w:rsid w:val="006C1F54"/>
    <w:rsid w:val="006C5A2A"/>
    <w:rsid w:val="00734F84"/>
    <w:rsid w:val="0074438C"/>
    <w:rsid w:val="0074677E"/>
    <w:rsid w:val="00790955"/>
    <w:rsid w:val="007A7718"/>
    <w:rsid w:val="007B796C"/>
    <w:rsid w:val="007D4506"/>
    <w:rsid w:val="00817EB9"/>
    <w:rsid w:val="0082071F"/>
    <w:rsid w:val="0084361C"/>
    <w:rsid w:val="00856B0E"/>
    <w:rsid w:val="00963952"/>
    <w:rsid w:val="0097521C"/>
    <w:rsid w:val="00993F54"/>
    <w:rsid w:val="009C4177"/>
    <w:rsid w:val="00A25FC1"/>
    <w:rsid w:val="00A73A31"/>
    <w:rsid w:val="00A7716D"/>
    <w:rsid w:val="00B21BCC"/>
    <w:rsid w:val="00B629F2"/>
    <w:rsid w:val="00BD0CEA"/>
    <w:rsid w:val="00C011FE"/>
    <w:rsid w:val="00D11E07"/>
    <w:rsid w:val="00D20C43"/>
    <w:rsid w:val="00D541E2"/>
    <w:rsid w:val="00D65B49"/>
    <w:rsid w:val="00D7355D"/>
    <w:rsid w:val="00DA3E78"/>
    <w:rsid w:val="00DF0ECE"/>
    <w:rsid w:val="00E10712"/>
    <w:rsid w:val="00E5221A"/>
    <w:rsid w:val="00E5550E"/>
    <w:rsid w:val="00EF6208"/>
    <w:rsid w:val="00F010A0"/>
    <w:rsid w:val="00F3330B"/>
    <w:rsid w:val="00F460F0"/>
    <w:rsid w:val="00F82E0A"/>
    <w:rsid w:val="00F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5AD9"/>
  <w15:docId w15:val="{2B014EBC-DBFE-437C-8E48-6EDBEAD0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952"/>
    <w:pPr>
      <w:spacing w:after="39" w:line="264"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ind w:left="15"/>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Revision">
    <w:name w:val="Revision"/>
    <w:hidden/>
    <w:uiPriority w:val="99"/>
    <w:semiHidden/>
    <w:rsid w:val="00A73A31"/>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EE88388626F4CB9223242FF0A5FB9" ma:contentTypeVersion="6" ma:contentTypeDescription="Create a new document." ma:contentTypeScope="" ma:versionID="6e9dbddac837cc74b62174f8ab361a51">
  <xsd:schema xmlns:xsd="http://www.w3.org/2001/XMLSchema" xmlns:xs="http://www.w3.org/2001/XMLSchema" xmlns:p="http://schemas.microsoft.com/office/2006/metadata/properties" xmlns:ns2="5935c7f0-e883-4bcb-85a7-15c4ef740ae3" xmlns:ns3="9648ca1c-938a-44f6-94d8-435dff3f4dc8" targetNamespace="http://schemas.microsoft.com/office/2006/metadata/properties" ma:root="true" ma:fieldsID="549aca327aa25a96d6991c48967bf763" ns2:_="" ns3:_="">
    <xsd:import namespace="5935c7f0-e883-4bcb-85a7-15c4ef740ae3"/>
    <xsd:import namespace="9648ca1c-938a-44f6-94d8-435dff3f4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5c7f0-e883-4bcb-85a7-15c4ef740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8ca1c-938a-44f6-94d8-435dff3f4d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E29F3-BA4F-40B7-B653-F126A10CD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5c7f0-e883-4bcb-85a7-15c4ef740ae3"/>
    <ds:schemaRef ds:uri="9648ca1c-938a-44f6-94d8-435dff3f4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0579B-2DC8-4B86-BCF9-C06E55C0E9F3}">
  <ds:schemaRefs>
    <ds:schemaRef ds:uri="http://schemas.microsoft.com/sharepoint/v3/contenttype/forms"/>
  </ds:schemaRefs>
</ds:datastoreItem>
</file>

<file path=customXml/itemProps3.xml><?xml version="1.0" encoding="utf-8"?>
<ds:datastoreItem xmlns:ds="http://schemas.openxmlformats.org/officeDocument/2006/customXml" ds:itemID="{40BEDE2D-6464-4714-B413-87B9DB7BF0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4</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Selman, Brenda</dc:creator>
  <cp:keywords/>
  <cp:lastModifiedBy>McCuien, Grace</cp:lastModifiedBy>
  <cp:revision>2</cp:revision>
  <dcterms:created xsi:type="dcterms:W3CDTF">2025-12-04T21:13:00Z</dcterms:created>
  <dcterms:modified xsi:type="dcterms:W3CDTF">2025-12-04T21:13:00Z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0x010100007EE88388626F4CB9223242FF0A5FB9</vt:lpwstr>
  </property>
</Properties>
</file>